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ascii="宋体" w:hAnsi="宋体" w:cs="宋体"/>
          <w:b/>
          <w:bCs/>
          <w:sz w:val="44"/>
          <w:szCs w:val="44"/>
          <w:u w:val="single"/>
        </w:rPr>
      </w:pPr>
    </w:p>
    <w:p>
      <w:pPr>
        <w:spacing w:line="700" w:lineRule="exact"/>
        <w:jc w:val="center"/>
        <w:rPr>
          <w:rFonts w:ascii="仿宋" w:hAnsi="仿宋" w:eastAsia="仿宋"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u w:val="single"/>
        </w:rPr>
        <w:t>第二事业部</w:t>
      </w:r>
      <w:r>
        <w:rPr>
          <w:rFonts w:hint="eastAsia" w:ascii="宋体" w:hAnsi="宋体" w:cs="宋体"/>
          <w:b/>
          <w:bCs/>
          <w:sz w:val="44"/>
          <w:szCs w:val="44"/>
          <w:u w:val="single"/>
          <w:lang w:eastAsia="zh-CN"/>
        </w:rPr>
        <w:t>全鑫矿业项目商品混凝土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72"/>
          <w:szCs w:val="72"/>
        </w:rPr>
      </w:pPr>
      <w:r>
        <w:rPr>
          <w:rFonts w:hint="eastAsia" w:ascii="仿宋" w:hAnsi="仿宋" w:eastAsia="仿宋"/>
          <w:b/>
          <w:sz w:val="72"/>
          <w:szCs w:val="72"/>
        </w:rPr>
        <w:t>招标文件</w:t>
      </w:r>
    </w:p>
    <w:p>
      <w:pPr>
        <w:tabs>
          <w:tab w:val="left" w:pos="7020"/>
        </w:tabs>
        <w:jc w:val="center"/>
        <w:rPr>
          <w:rFonts w:ascii="仿宋" w:hAnsi="仿宋" w:eastAsia="仿宋"/>
          <w:b/>
          <w:sz w:val="52"/>
          <w:szCs w:val="52"/>
        </w:rPr>
      </w:pPr>
    </w:p>
    <w:p>
      <w:pPr>
        <w:rPr>
          <w:rFonts w:hint="default" w:ascii="仿宋" w:hAnsi="仿宋" w:eastAsia="仿宋" w:cs="仿宋_GB2312"/>
          <w:b/>
          <w:bCs/>
          <w:sz w:val="32"/>
          <w:szCs w:val="32"/>
          <w:u w:val="single"/>
          <w:lang w:val="en-US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招标编号：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TGJA-WZ-202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382</w:t>
      </w:r>
    </w:p>
    <w:p>
      <w:pPr>
        <w:rPr>
          <w:rFonts w:ascii="仿宋" w:hAnsi="仿宋" w:eastAsia="仿宋" w:cs="仿宋_GB2312"/>
          <w:b/>
          <w:bCs/>
          <w:sz w:val="32"/>
          <w:szCs w:val="32"/>
          <w:highlight w:val="cyan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招标公告发布日期：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202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年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6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日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 xml:space="preserve">招 标 人: 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铜陵有色金属集团铜冠建筑安装股份有限公司</w:t>
      </w:r>
    </w:p>
    <w:p>
      <w:pPr>
        <w:rPr>
          <w:rFonts w:ascii="仿宋" w:hAnsi="仿宋" w:eastAsia="仿宋" w:cs="仿宋_GB2312"/>
          <w:b/>
          <w:bCs/>
          <w:sz w:val="32"/>
          <w:szCs w:val="32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_GB2312"/>
          <w:b/>
          <w:bCs/>
          <w:sz w:val="32"/>
          <w:szCs w:val="32"/>
        </w:rPr>
        <w:t>联 系 人：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eastAsia="zh-CN"/>
        </w:rPr>
        <w:t>叶明陵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13865621916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）、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eastAsia="zh-CN"/>
        </w:rPr>
        <w:t>任凡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  <w:lang w:val="en-US" w:eastAsia="zh-CN"/>
        </w:rPr>
        <w:t>15656263008</w:t>
      </w:r>
      <w:r>
        <w:rPr>
          <w:rFonts w:hint="eastAsia" w:ascii="仿宋" w:hAnsi="仿宋" w:eastAsia="仿宋" w:cs="仿宋_GB2312"/>
          <w:b/>
          <w:bCs/>
          <w:sz w:val="32"/>
          <w:szCs w:val="32"/>
          <w:u w:val="single"/>
        </w:rPr>
        <w:t>）</w:t>
      </w: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32"/>
          <w:szCs w:val="32"/>
          <w:u w:val="single"/>
        </w:rPr>
      </w:pP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【声明】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1、公开招标（竞价）是铜冠建安公司为规范自主采购管理，推进阳光工程而采取的公开竞争性采购方式，公司物资供应部根据阳光工程相关规定通过招标平台进行公开招标（竞价）。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2、公开招标（竞价）在铜冠建安公司纪委监督下进行。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一、招标日程安排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  <w:shd w:val="clear" w:color="FFFFFF" w:fill="D9D9D9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1、招标公告发布日期：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cyan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2、投标截止时间：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3、投标文件递交地点：铜陵有色金属集团铜冠建筑安装股份有限公司审计监察室（</w:t>
      </w:r>
      <w:r>
        <w:rPr>
          <w:rFonts w:hint="eastAsia" w:ascii="仿宋" w:hAnsi="仿宋" w:eastAsia="仿宋" w:cs="仿宋_GB2312"/>
          <w:sz w:val="28"/>
          <w:szCs w:val="28"/>
        </w:rPr>
        <w:t>黄山大道南段879号主楼四楼</w:t>
      </w:r>
      <w:r>
        <w:rPr>
          <w:rFonts w:hint="eastAsia" w:ascii="仿宋_GB2312" w:hAnsi="仿宋_GB2312" w:eastAsia="仿宋_GB2312" w:cs="仿宋_GB2312"/>
          <w:sz w:val="28"/>
          <w:szCs w:val="28"/>
        </w:rPr>
        <w:t>）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4、投标文件收件人：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5、开标时间：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202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年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8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日9:00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6、发中标通知书时间：另行通知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7、签订合同时间：另行通知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二、招标内容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本次招标的具体内容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：详见报价单。</w:t>
      </w:r>
    </w:p>
    <w:p>
      <w:pPr>
        <w:rPr>
          <w:rFonts w:ascii="仿宋" w:hAnsi="仿宋" w:eastAsia="仿宋" w:cs="仿宋_GB2312"/>
          <w:b/>
          <w:bCs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sz w:val="28"/>
          <w:szCs w:val="28"/>
        </w:rPr>
        <w:t>说明：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该招标数量为招标人在现有条件下核定的大约数量，此数量仅作为评标和签订合同数量的依据，不作为中标人最终供货结算数量的依据，最终供货结算数量的增减丝毫不影响投标报价的效力。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三、投标人资格要求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1、在中华人民共和国境内依法经国家工商、税务机关登记注册。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2、投标人须为一般纳税人或小规模纳税人。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3、投标人提供的相关资质证件均须在年审有效期内。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4、投标人营业执照所列示的经营范围必须涵盖本次招标材料品种。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highlight w:val="green"/>
        </w:rPr>
      </w:pPr>
      <w:r>
        <w:rPr>
          <w:rFonts w:hint="eastAsia" w:ascii="仿宋" w:hAnsi="仿宋" w:eastAsia="仿宋" w:cs="仿宋_GB2312"/>
          <w:sz w:val="28"/>
          <w:szCs w:val="28"/>
        </w:rPr>
        <w:t>5、有生产经营和安全许可要求的，必须有相应有效的许可证。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6、投标人近三年无重大失信和违法、违纪行为等不良记录。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四、招标公告发布的媒介及招标公告的获取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本次招标公告（包括后期如有对招标文件所作的澄清、修改等。）将在铜冠建筑安装股份有限公司网（</w:t>
      </w:r>
      <w:r>
        <w:rPr>
          <w:rFonts w:ascii="仿宋" w:hAnsi="仿宋" w:eastAsia="仿宋" w:cs="仿宋_GB2312"/>
          <w:sz w:val="28"/>
          <w:szCs w:val="28"/>
        </w:rPr>
        <w:t>http://www.tltgja.com.cn/</w:t>
      </w:r>
      <w:r>
        <w:rPr>
          <w:rFonts w:hint="eastAsia" w:ascii="仿宋" w:hAnsi="仿宋" w:eastAsia="仿宋" w:cs="仿宋_GB2312"/>
          <w:sz w:val="28"/>
          <w:szCs w:val="28"/>
        </w:rPr>
        <w:t>）在线招标--物资招标上发布。招标公告请投标人自行下载。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所有招标信息均以以上网站发布为准，其它任何形式的内容不作为招标投标以及开标评标的依据。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  <w:r>
        <w:rPr>
          <w:rFonts w:hint="eastAsia" w:ascii="仿宋_GB2312" w:hAnsi="宋体" w:eastAsia="仿宋_GB2312" w:cs="仿宋_GB2312"/>
          <w:b/>
          <w:sz w:val="36"/>
          <w:szCs w:val="36"/>
        </w:rPr>
        <w:t>五、投标报名</w:t>
      </w:r>
    </w:p>
    <w:p>
      <w:pPr>
        <w:jc w:val="center"/>
        <w:rPr>
          <w:rFonts w:ascii="仿宋_GB2312" w:hAnsi="宋体" w:eastAsia="仿宋_GB2312" w:cs="仿宋_GB2312"/>
          <w:b/>
          <w:sz w:val="36"/>
          <w:szCs w:val="36"/>
        </w:rPr>
      </w:pP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1、各投标人需在开标之前至铜陵有色建安公司报名。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2、报名时投标人需提供报名资料。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报名资料包括加盖公章的营业执照副本的复印件、法人身份证复印件（经办人不是法人代表的要提供法人代表授权委托书、代理人身份证复印件）等资料。</w:t>
      </w:r>
    </w:p>
    <w:p>
      <w:pPr>
        <w:ind w:firstLine="560" w:firstLineChars="2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3、报名自招标公告发布之日起至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日1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0止</w:t>
      </w:r>
    </w:p>
    <w:p>
      <w:pPr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报名后资格审查未通过或未按相关要求报名的投标资料按废标处理。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5、报名地点：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铜冠建安公司物资供应部（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黄山大道南段879号主楼四楼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）也可通过网络形式报名，将相关资料通过网络发给报名联系人。</w:t>
      </w:r>
    </w:p>
    <w:p>
      <w:pPr>
        <w:ind w:firstLine="560" w:firstLineChars="200"/>
        <w:rPr>
          <w:rFonts w:ascii="仿宋" w:hAnsi="仿宋" w:eastAsia="仿宋" w:cs="仿宋_GB231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6、联 系 人：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叶明陵（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13865621916</w:t>
      </w:r>
      <w:r>
        <w:rPr>
          <w:rFonts w:hint="eastAsia" w:ascii="仿宋" w:hAnsi="仿宋" w:eastAsia="仿宋" w:cs="仿宋_GB2312"/>
          <w:sz w:val="32"/>
          <w:szCs w:val="32"/>
          <w:u w:val="single"/>
          <w:lang w:eastAsia="zh-CN"/>
        </w:rPr>
        <w:t>）、任凡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（</w:t>
      </w:r>
      <w:r>
        <w:rPr>
          <w:rFonts w:hint="eastAsia" w:ascii="仿宋" w:hAnsi="仿宋" w:eastAsia="仿宋" w:cs="仿宋_GB2312"/>
          <w:sz w:val="32"/>
          <w:szCs w:val="32"/>
          <w:u w:val="single"/>
          <w:lang w:val="en-US" w:eastAsia="zh-CN"/>
        </w:rPr>
        <w:t>15656263008</w:t>
      </w:r>
      <w:r>
        <w:rPr>
          <w:rFonts w:hint="eastAsia" w:ascii="仿宋" w:hAnsi="仿宋" w:eastAsia="仿宋" w:cs="仿宋_GB2312"/>
          <w:sz w:val="32"/>
          <w:szCs w:val="32"/>
          <w:u w:val="single"/>
        </w:rPr>
        <w:t>）</w:t>
      </w:r>
    </w:p>
    <w:p>
      <w:pPr>
        <w:rPr>
          <w:rFonts w:ascii="仿宋" w:hAnsi="仿宋" w:eastAsia="仿宋" w:cs="仿宋_GB2312"/>
          <w:sz w:val="28"/>
          <w:szCs w:val="28"/>
        </w:rPr>
      </w:pP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六、保证金</w:t>
      </w: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1、为严肃和规范投标行为，确保投标的顺利以及中标后合同的有效执行，投标人须向招标人缴纳投标保证金，本次需缴纳投标保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证金</w:t>
      </w:r>
      <w:r>
        <w:rPr>
          <w:rFonts w:hint="eastAsia" w:ascii="仿宋" w:hAnsi="仿宋" w:eastAsia="仿宋" w:cs="仿宋_GB2312"/>
          <w:b/>
          <w:bCs/>
          <w:color w:val="000000"/>
          <w:sz w:val="28"/>
          <w:szCs w:val="28"/>
          <w:highlight w:val="none"/>
          <w:u w:val="single"/>
          <w:lang w:eastAsia="zh-CN"/>
        </w:rPr>
        <w:t>壹拾</w:t>
      </w:r>
      <w:r>
        <w:rPr>
          <w:rFonts w:hint="eastAsia" w:ascii="仿宋" w:hAnsi="仿宋" w:eastAsia="仿宋" w:cs="仿宋_GB2312"/>
          <w:b/>
          <w:bCs/>
          <w:color w:val="000000"/>
          <w:sz w:val="28"/>
          <w:szCs w:val="28"/>
          <w:highlight w:val="none"/>
          <w:u w:val="single"/>
        </w:rPr>
        <w:t>万元整</w:t>
      </w:r>
      <w:r>
        <w:rPr>
          <w:rFonts w:hint="eastAsia" w:ascii="仿宋" w:hAnsi="仿宋" w:eastAsia="仿宋" w:cs="仿宋_GB2312"/>
          <w:color w:val="000000"/>
          <w:sz w:val="28"/>
          <w:szCs w:val="28"/>
          <w:highlight w:val="none"/>
        </w:rPr>
        <w:t>；</w:t>
      </w:r>
      <w:r>
        <w:rPr>
          <w:rFonts w:hint="eastAsia" w:ascii="仿宋" w:hAnsi="仿宋" w:eastAsia="仿宋" w:cs="仿宋_GB2312"/>
          <w:sz w:val="28"/>
          <w:szCs w:val="28"/>
          <w:highlight w:val="none"/>
        </w:rPr>
        <w:t>（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投标文件内附汇款凭证复印件。如投标人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在铜冠建安公司（含各分子公司）有超过投标保证金数额的应收欠款，可以出具承诺书的方式将足额应收欠款转为投标保证金，承诺书作为投标资料的一部分，并附铜冠建安公司（含各分子公司）财务出具的加盖财务专用章的应收欠款证明。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  <w:r>
        <w:rPr>
          <w:rFonts w:hint="eastAsia" w:ascii="仿宋" w:hAnsi="仿宋" w:eastAsia="仿宋" w:cs="仿宋_GB2312"/>
          <w:b/>
          <w:bCs/>
          <w:sz w:val="28"/>
          <w:szCs w:val="28"/>
        </w:rPr>
        <w:t>无投标保证金或未出具投标保证金承诺书视为无效投标。</w:t>
      </w:r>
      <w:r>
        <w:rPr>
          <w:rFonts w:hint="eastAsia" w:ascii="仿宋" w:hAnsi="仿宋" w:eastAsia="仿宋" w:cs="仿宋_GB2312"/>
          <w:sz w:val="28"/>
          <w:szCs w:val="28"/>
        </w:rPr>
        <w:t>投标保证金须对公账户转账，不接受个人账户转账，同时要求注明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铜陵铜冠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  <w:lang w:eastAsia="zh-CN"/>
        </w:rPr>
        <w:t>建安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公司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  <w:lang w:eastAsia="zh-CN"/>
        </w:rPr>
        <w:t>第二事业部全鑫矿业项目商品混凝土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材料TGJA-WZ-202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  <w:lang w:val="en-US" w:eastAsia="zh-CN"/>
        </w:rPr>
        <w:t>382</w:t>
      </w:r>
      <w:r>
        <w:rPr>
          <w:rFonts w:hint="eastAsia" w:ascii="仿宋" w:hAnsi="仿宋" w:eastAsia="仿宋" w:cs="仿宋_GB2312"/>
          <w:b/>
          <w:bCs/>
          <w:sz w:val="28"/>
          <w:szCs w:val="28"/>
          <w:u w:val="single"/>
        </w:rPr>
        <w:t>投标保证金</w:t>
      </w:r>
    </w:p>
    <w:p>
      <w:pPr>
        <w:spacing w:line="560" w:lineRule="exact"/>
        <w:ind w:firstLine="562" w:firstLineChars="200"/>
        <w:jc w:val="left"/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</w:pPr>
      <w:r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  <w:t xml:space="preserve">2、下列任何情况发生时，投标保证金将被不予退还： 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（1）投标人在投标截止后至投标有效期内撤回投标文件的； 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（2）中标人未能在规定期限内按照招标文件签订合同协议；</w:t>
      </w:r>
    </w:p>
    <w:p>
      <w:pPr>
        <w:spacing w:line="560" w:lineRule="exact"/>
        <w:ind w:firstLine="560" w:firstLineChars="200"/>
        <w:jc w:val="left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（3）签署合同后，未能在规定的时间内提供履约保证金；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（4）投标人在招标中存在违规和违法行为的。</w:t>
      </w:r>
    </w:p>
    <w:p>
      <w:pPr>
        <w:spacing w:line="560" w:lineRule="exact"/>
        <w:ind w:firstLine="560" w:firstLineChars="200"/>
        <w:jc w:val="left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（5）中标人因自身原因放弃中标资格的。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3、在签订合同前，中标人须交纳履约保证金。履约保证金金额为中标合同总金额的 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 xml:space="preserve">10% </w:t>
      </w:r>
      <w:r>
        <w:rPr>
          <w:rFonts w:hint="eastAsia" w:ascii="仿宋" w:hAnsi="仿宋" w:eastAsia="仿宋" w:cs="仿宋_GB2312"/>
          <w:sz w:val="28"/>
          <w:szCs w:val="28"/>
        </w:rPr>
        <w:t>（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如中标人在铜冠建安公司（含各分子公司）有超过履约保证金数额的应收欠款，可以出具承诺书的方式承诺将足额欠款转为履约保证金，并附铜冠建安公司（含各分子公司）财务出具加盖财务专用章的应收欠款证明。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或以货款抵扣。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4、招标人与中标人签订合同后</w:t>
      </w:r>
      <w:r>
        <w:rPr>
          <w:rFonts w:hint="eastAsia" w:ascii="仿宋" w:hAnsi="仿宋" w:eastAsia="仿宋" w:cs="仿宋_GB2312"/>
          <w:b/>
          <w:bCs/>
          <w:color w:val="C00000"/>
          <w:sz w:val="28"/>
          <w:szCs w:val="28"/>
        </w:rPr>
        <w:t>7</w:t>
      </w:r>
      <w:r>
        <w:rPr>
          <w:rFonts w:hint="eastAsia" w:ascii="仿宋" w:hAnsi="仿宋" w:eastAsia="仿宋" w:cs="仿宋_GB2312"/>
          <w:sz w:val="28"/>
          <w:szCs w:val="28"/>
        </w:rPr>
        <w:t>日内，向未中标的投标人退还投标保证金（无息），中标人在签订合同并交纳履约保证金后退还投标保证金（无息）。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5、公司对公账户信息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账户名称：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铜陵有色金属集团铜冠建筑安装股份有限公司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账    号：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1308024009200056147</w:t>
      </w:r>
    </w:p>
    <w:p>
      <w:pPr>
        <w:spacing w:line="560" w:lineRule="exact"/>
        <w:ind w:firstLine="560" w:firstLineChars="200"/>
        <w:rPr>
          <w:rFonts w:hint="eastAsia"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开 户 行：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工行铜陵铜都支行</w:t>
      </w: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 xml:space="preserve"> </w:t>
      </w: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七、</w:t>
      </w:r>
      <w:r>
        <w:rPr>
          <w:rFonts w:hint="eastAsia" w:ascii="仿宋" w:hAnsi="仿宋" w:eastAsia="仿宋" w:cs="仿宋_GB2312"/>
          <w:b/>
          <w:sz w:val="36"/>
          <w:szCs w:val="36"/>
        </w:rPr>
        <w:t>投标文件的递交</w:t>
      </w: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560" w:firstLineChars="200"/>
        <w:rPr>
          <w:rFonts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sz w:val="28"/>
          <w:szCs w:val="28"/>
        </w:rPr>
        <w:t>1、投标文件递交的截止时间：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日9:00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2、投标文件递交地点：铜陵有色金属集团铜冠建筑安装股份有限公司经营部（</w:t>
      </w:r>
      <w:r>
        <w:rPr>
          <w:rFonts w:hint="eastAsia" w:ascii="仿宋" w:hAnsi="仿宋" w:eastAsia="仿宋" w:cs="仿宋_GB2312"/>
          <w:sz w:val="28"/>
          <w:szCs w:val="28"/>
          <w:u w:val="single"/>
          <w:lang w:val="en-US" w:eastAsia="zh-CN"/>
        </w:rPr>
        <w:t>黄山大道南段879号主楼四楼</w:t>
      </w:r>
      <w:r>
        <w:rPr>
          <w:rFonts w:hint="eastAsia" w:ascii="仿宋" w:hAnsi="仿宋" w:eastAsia="仿宋" w:cs="仿宋_GB2312"/>
          <w:sz w:val="28"/>
          <w:szCs w:val="28"/>
        </w:rPr>
        <w:t>）</w:t>
      </w: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3、投标文件收件人：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黄赟（18656211500）</w:t>
      </w:r>
    </w:p>
    <w:p>
      <w:pPr>
        <w:ind w:firstLine="560" w:firstLineChars="200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sz w:val="28"/>
          <w:szCs w:val="28"/>
        </w:rPr>
        <w:t>4、逾期送达的或未按规定送达指定地点的投标文件，招标人不予受理。</w:t>
      </w: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八</w:t>
      </w:r>
      <w:r>
        <w:rPr>
          <w:rFonts w:hint="eastAsia" w:ascii="仿宋" w:hAnsi="仿宋" w:eastAsia="仿宋" w:cs="仿宋_GB2312"/>
          <w:b/>
          <w:sz w:val="36"/>
          <w:szCs w:val="36"/>
        </w:rPr>
        <w:t>、投标人须知</w:t>
      </w:r>
    </w:p>
    <w:p>
      <w:pPr>
        <w:rPr>
          <w:rFonts w:ascii="仿宋" w:hAnsi="仿宋" w:eastAsia="仿宋" w:cs="仿宋_GB2312"/>
          <w:b/>
          <w:sz w:val="36"/>
          <w:szCs w:val="36"/>
        </w:rPr>
      </w:pP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1、与本次招标材料的质量相关要求</w:t>
      </w:r>
    </w:p>
    <w:p>
      <w:pPr>
        <w:spacing w:line="560" w:lineRule="exact"/>
        <w:ind w:firstLine="638" w:firstLineChars="228"/>
        <w:rPr>
          <w:rFonts w:ascii="仿宋_GB2312" w:hAnsi="仿宋_GB2312" w:eastAsia="仿宋_GB2312" w:cs="仿宋_GB2312"/>
          <w:sz w:val="28"/>
          <w:szCs w:val="28"/>
          <w:u w:val="none"/>
        </w:rPr>
      </w:pPr>
      <w:r>
        <w:rPr>
          <w:rFonts w:hint="eastAsia" w:ascii="仿宋" w:hAnsi="仿宋" w:eastAsia="仿宋" w:cs="仿宋_GB2312"/>
          <w:sz w:val="28"/>
          <w:szCs w:val="28"/>
        </w:rPr>
        <w:t>（1）</w:t>
      </w:r>
      <w:r>
        <w:rPr>
          <w:rFonts w:hint="eastAsia" w:ascii="仿宋" w:hAnsi="仿宋" w:eastAsia="仿宋" w:cs="仿宋_GB2312"/>
          <w:sz w:val="28"/>
          <w:szCs w:val="28"/>
          <w:u w:val="none"/>
        </w:rPr>
        <w:t>材料质量要求：符合</w:t>
      </w:r>
      <w:r>
        <w:rPr>
          <w:rFonts w:ascii="仿宋" w:hAnsi="仿宋" w:eastAsia="仿宋" w:cs="仿宋_GB2312"/>
          <w:sz w:val="28"/>
          <w:szCs w:val="28"/>
          <w:u w:val="none"/>
        </w:rPr>
        <w:t>《</w:t>
      </w:r>
      <w:r>
        <w:rPr>
          <w:rFonts w:hint="eastAsia" w:ascii="仿宋" w:hAnsi="仿宋" w:eastAsia="仿宋" w:cs="仿宋_GB2312"/>
          <w:sz w:val="28"/>
          <w:szCs w:val="28"/>
          <w:u w:val="none"/>
          <w:lang w:eastAsia="zh-CN"/>
        </w:rPr>
        <w:t>预拌混凝土</w:t>
      </w:r>
      <w:r>
        <w:rPr>
          <w:rFonts w:ascii="仿宋" w:hAnsi="仿宋" w:eastAsia="仿宋" w:cs="仿宋_GB2312"/>
          <w:sz w:val="28"/>
          <w:szCs w:val="28"/>
          <w:u w:val="none"/>
        </w:rPr>
        <w:t>》GB/</w:t>
      </w:r>
      <w:r>
        <w:rPr>
          <w:rFonts w:hint="eastAsia" w:ascii="仿宋" w:hAnsi="仿宋" w:eastAsia="仿宋" w:cs="仿宋_GB2312"/>
          <w:sz w:val="28"/>
          <w:szCs w:val="28"/>
          <w:u w:val="none"/>
          <w:lang w:val="en-US" w:eastAsia="zh-CN"/>
        </w:rPr>
        <w:t>T1</w:t>
      </w:r>
      <w:r>
        <w:rPr>
          <w:rFonts w:hint="eastAsia" w:ascii="仿宋" w:hAnsi="仿宋" w:eastAsia="仿宋" w:cs="仿宋_GB2312"/>
          <w:sz w:val="28"/>
          <w:szCs w:val="28"/>
          <w:u w:val="none"/>
        </w:rPr>
        <w:t>4</w:t>
      </w:r>
      <w:r>
        <w:rPr>
          <w:rFonts w:hint="eastAsia" w:ascii="仿宋" w:hAnsi="仿宋" w:eastAsia="仿宋" w:cs="仿宋_GB2312"/>
          <w:sz w:val="28"/>
          <w:szCs w:val="28"/>
          <w:u w:val="none"/>
          <w:lang w:val="en-US" w:eastAsia="zh-CN"/>
        </w:rPr>
        <w:t>902</w:t>
      </w:r>
      <w:r>
        <w:rPr>
          <w:rFonts w:hint="eastAsia" w:ascii="仿宋" w:hAnsi="仿宋" w:eastAsia="仿宋" w:cs="仿宋_GB2312"/>
          <w:sz w:val="28"/>
          <w:szCs w:val="28"/>
          <w:u w:val="none"/>
        </w:rPr>
        <w:t>-201</w:t>
      </w:r>
      <w:r>
        <w:rPr>
          <w:rFonts w:hint="eastAsia" w:ascii="仿宋" w:hAnsi="仿宋" w:eastAsia="仿宋" w:cs="仿宋_GB2312"/>
          <w:sz w:val="28"/>
          <w:szCs w:val="28"/>
          <w:u w:val="none"/>
          <w:lang w:val="en-US" w:eastAsia="zh-CN"/>
        </w:rPr>
        <w:t>2</w:t>
      </w:r>
      <w:r>
        <w:rPr>
          <w:rFonts w:hint="eastAsia" w:ascii="仿宋" w:hAnsi="仿宋" w:eastAsia="仿宋" w:cs="仿宋_GB2312"/>
          <w:sz w:val="28"/>
          <w:szCs w:val="28"/>
          <w:u w:val="none"/>
        </w:rPr>
        <w:t>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none"/>
        </w:rPr>
      </w:pPr>
    </w:p>
    <w:p>
      <w:pPr>
        <w:ind w:firstLine="560" w:firstLineChars="200"/>
        <w:rPr>
          <w:rFonts w:ascii="仿宋" w:hAnsi="仿宋" w:eastAsia="仿宋" w:cs="仿宋_GB2312"/>
          <w:sz w:val="28"/>
          <w:szCs w:val="28"/>
          <w:u w:val="none"/>
        </w:rPr>
      </w:pPr>
      <w:r>
        <w:rPr>
          <w:rFonts w:hint="eastAsia" w:ascii="仿宋" w:hAnsi="仿宋" w:eastAsia="仿宋" w:cs="仿宋_GB2312"/>
          <w:sz w:val="28"/>
          <w:szCs w:val="28"/>
          <w:u w:val="none"/>
        </w:rPr>
        <w:t>（2）投标人如若中标，提供的所有材料必须符合技术指标要求，</w:t>
      </w:r>
      <w:r>
        <w:rPr>
          <w:rFonts w:hint="eastAsia" w:ascii="仿宋" w:hAnsi="仿宋" w:eastAsia="仿宋" w:cs="仿宋"/>
          <w:sz w:val="28"/>
          <w:szCs w:val="28"/>
          <w:u w:val="none"/>
        </w:rPr>
        <w:t>以招标人抽样检验为准。所供材料如未达到技术指标要求，中标人应立即停供。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none"/>
        </w:rPr>
      </w:pPr>
      <w:r>
        <w:rPr>
          <w:rFonts w:hint="eastAsia" w:ascii="仿宋" w:hAnsi="仿宋" w:eastAsia="仿宋" w:cs="仿宋_GB2312"/>
          <w:sz w:val="28"/>
          <w:szCs w:val="28"/>
          <w:u w:val="none"/>
        </w:rPr>
        <w:t>（3）若达不到招标人要求的，中标人无条件将该批货物拉回且不计货款，动用招标人机械的收取相应费用。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none"/>
        </w:rPr>
      </w:pPr>
      <w:r>
        <w:rPr>
          <w:rFonts w:hint="eastAsia" w:ascii="仿宋" w:hAnsi="仿宋" w:eastAsia="仿宋" w:cs="仿宋_GB2312"/>
          <w:sz w:val="28"/>
          <w:szCs w:val="28"/>
          <w:u w:val="none"/>
        </w:rPr>
        <w:t>（4）按招标人提供</w:t>
      </w:r>
      <w:r>
        <w:rPr>
          <w:rFonts w:hint="eastAsia" w:ascii="仿宋" w:hAnsi="仿宋" w:eastAsia="仿宋" w:cs="仿宋_GB2312"/>
          <w:sz w:val="28"/>
          <w:szCs w:val="28"/>
          <w:u w:val="none"/>
          <w:lang w:eastAsia="zh-CN"/>
        </w:rPr>
        <w:t>计划</w:t>
      </w:r>
      <w:r>
        <w:rPr>
          <w:rFonts w:hint="eastAsia" w:ascii="仿宋" w:hAnsi="仿宋" w:eastAsia="仿宋" w:cs="仿宋_GB2312"/>
          <w:sz w:val="28"/>
          <w:szCs w:val="28"/>
          <w:u w:val="none"/>
        </w:rPr>
        <w:t>生产，分批发货；每批发货前，招标人提前</w:t>
      </w:r>
      <w:r>
        <w:rPr>
          <w:rFonts w:hint="eastAsia" w:ascii="仿宋" w:hAnsi="仿宋" w:eastAsia="仿宋" w:cs="仿宋_GB2312"/>
          <w:sz w:val="28"/>
          <w:szCs w:val="28"/>
          <w:u w:val="none"/>
          <w:lang w:val="en-US" w:eastAsia="zh-CN"/>
        </w:rPr>
        <w:t>3</w:t>
      </w:r>
      <w:r>
        <w:rPr>
          <w:rFonts w:hint="eastAsia" w:ascii="仿宋" w:hAnsi="仿宋" w:eastAsia="仿宋" w:cs="仿宋_GB2312"/>
          <w:sz w:val="28"/>
          <w:szCs w:val="28"/>
          <w:u w:val="none"/>
        </w:rPr>
        <w:t>天通知具体发货明细。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none"/>
        </w:rPr>
      </w:pPr>
      <w:r>
        <w:rPr>
          <w:rFonts w:hint="eastAsia" w:ascii="仿宋" w:hAnsi="仿宋" w:eastAsia="仿宋" w:cs="仿宋_GB2312"/>
          <w:sz w:val="28"/>
          <w:szCs w:val="28"/>
          <w:u w:val="none"/>
        </w:rPr>
        <w:t>（5）因材料产品质量不合格所造成的相关质量问题，没收中标人履约保证金，同时对相关质量问题所引发的返工、耽误工期、对业主单位的生产影响等所有相关损失，中标人承担相应责任。</w:t>
      </w:r>
    </w:p>
    <w:p>
      <w:pPr>
        <w:ind w:firstLine="638" w:firstLineChars="228"/>
        <w:rPr>
          <w:rFonts w:ascii="仿宋" w:hAnsi="仿宋" w:eastAsia="仿宋" w:cs="仿宋_GB2312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2、付款方式</w:t>
      </w:r>
    </w:p>
    <w:p>
      <w:pPr>
        <w:spacing w:line="560" w:lineRule="exact"/>
        <w:ind w:firstLine="638" w:firstLineChars="228"/>
        <w:rPr>
          <w:rFonts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合同签订后，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根据到货情况，货到验收合格后开具发票，入账次月支付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0%，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当年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春节支付至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0%，剩余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0%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:lang w:eastAsia="zh-CN"/>
          <w14:textFill>
            <w14:solidFill>
              <w14:schemeClr w14:val="tx1"/>
            </w14:solidFill>
          </w14:textFill>
        </w:rPr>
        <w:t>次年度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none"/>
          <w14:textFill>
            <w14:solidFill>
              <w14:schemeClr w14:val="tx1"/>
            </w14:solidFill>
          </w14:textFill>
        </w:rPr>
        <w:t>付清。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</w:rPr>
        <w:t>货款以对公转账方式支付至供方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  <w:lang w:eastAsia="zh-CN"/>
        </w:rPr>
        <w:t>对公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</w:rPr>
        <w:t>账户，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  <w:lang w:eastAsia="zh-CN"/>
        </w:rPr>
        <w:t>支付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</w:rPr>
        <w:t>电汇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  <w:lang w:eastAsia="zh-CN"/>
        </w:rPr>
        <w:t>或不超过合同总金额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  <w:lang w:val="en-US" w:eastAsia="zh-CN"/>
        </w:rPr>
        <w:t>50%的6个月内银行电子承兑</w:t>
      </w:r>
      <w:r>
        <w:rPr>
          <w:rFonts w:hint="eastAsia" w:ascii="仿宋" w:hAnsi="仿宋" w:eastAsia="仿宋" w:cs="仿宋"/>
          <w:i w:val="0"/>
          <w:iCs w:val="0"/>
          <w:caps w:val="0"/>
          <w:color w:val="171A1D"/>
          <w:spacing w:val="0"/>
          <w:sz w:val="28"/>
          <w:szCs w:val="28"/>
          <w:highlight w:val="none"/>
          <w:u w:val="none"/>
          <w:shd w:val="clear" w:color="auto" w:fill="FFFFFF"/>
        </w:rPr>
        <w:t>。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3、报价相关要求</w:t>
      </w:r>
    </w:p>
    <w:p>
      <w:pPr>
        <w:ind w:firstLine="638" w:firstLineChars="228"/>
        <w:rPr>
          <w:rFonts w:hint="eastAsia" w:ascii="仿宋" w:hAnsi="仿宋" w:eastAsia="仿宋" w:cs="仿宋_GB2312"/>
          <w:sz w:val="28"/>
          <w:szCs w:val="28"/>
          <w:highlight w:val="none"/>
          <w:u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</w:rPr>
        <w:t>（1）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</w:rPr>
        <w:t>报价为含税（税率必须注明）、含运费、含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  <w:lang w:eastAsia="zh-CN"/>
        </w:rPr>
        <w:t>装卸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</w:rPr>
        <w:t>价。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  <w:lang w:eastAsia="zh-CN"/>
        </w:rPr>
        <w:t>一票制结算。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highlight w:val="none"/>
          <w:u w:val="none"/>
        </w:rPr>
      </w:pP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</w:rPr>
        <w:t>（2）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  <w:lang w:eastAsia="zh-CN"/>
        </w:rPr>
        <w:t>混凝土卸货所需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</w:rPr>
        <w:t>机械、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  <w:lang w:eastAsia="zh-CN"/>
        </w:rPr>
        <w:t>车辆、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none"/>
        </w:rPr>
        <w:t>人工均由供应方提供，并包含在报价中。</w:t>
      </w:r>
    </w:p>
    <w:p>
      <w:pPr>
        <w:ind w:firstLine="638" w:firstLineChars="228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  <w:u w:val="none"/>
        </w:rPr>
        <w:t>（3）各投标单位在投标报价前应仔细审阅招标公告、报价表及报价说明等与此次报价相</w:t>
      </w:r>
      <w:r>
        <w:rPr>
          <w:rFonts w:hint="eastAsia" w:ascii="仿宋" w:hAnsi="仿宋" w:eastAsia="仿宋" w:cs="仿宋_GB2312"/>
          <w:sz w:val="28"/>
          <w:szCs w:val="28"/>
        </w:rPr>
        <w:t>关的所有资料。报价要谨慎，一旦中标，视为理解并考虑了</w:t>
      </w:r>
      <w:r>
        <w:rPr>
          <w:rFonts w:hint="eastAsia" w:ascii="仿宋" w:hAnsi="仿宋" w:eastAsia="仿宋" w:cs="仿宋"/>
          <w:sz w:val="28"/>
          <w:szCs w:val="28"/>
        </w:rPr>
        <w:t>我公司一切要求的报价，不得以任何理由变更。</w:t>
      </w:r>
    </w:p>
    <w:p>
      <w:pPr>
        <w:ind w:firstLine="638" w:firstLineChars="228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</w:t>
      </w:r>
      <w:r>
        <w:rPr>
          <w:rFonts w:hint="eastAsia" w:ascii="仿宋" w:hAnsi="仿宋" w:eastAsia="仿宋" w:cs="仿宋"/>
          <w:sz w:val="28"/>
          <w:szCs w:val="28"/>
        </w:rPr>
        <w:t>6月1日宣城市海螺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散装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42.5</w:t>
      </w:r>
      <w:r>
        <w:rPr>
          <w:rFonts w:hint="eastAsia" w:ascii="仿宋" w:hAnsi="仿宋" w:eastAsia="仿宋" w:cs="仿宋"/>
          <w:sz w:val="28"/>
          <w:szCs w:val="28"/>
        </w:rPr>
        <w:t>水泥挂牌价作为基准挂牌价，对各种规格混凝土进行报价，投标方需提供经宣城市海螺水泥公司确认的宣城市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</w:t>
      </w:r>
      <w:r>
        <w:rPr>
          <w:rFonts w:hint="eastAsia" w:ascii="仿宋" w:hAnsi="仿宋" w:eastAsia="仿宋" w:cs="仿宋"/>
          <w:sz w:val="28"/>
          <w:szCs w:val="28"/>
        </w:rPr>
        <w:t>6月1日海螺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散装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42.5</w:t>
      </w:r>
      <w:r>
        <w:rPr>
          <w:rFonts w:hint="eastAsia" w:ascii="仿宋" w:hAnsi="仿宋" w:eastAsia="仿宋" w:cs="仿宋"/>
          <w:sz w:val="28"/>
          <w:szCs w:val="28"/>
        </w:rPr>
        <w:t>水泥挂牌价确认函。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）调价机制：</w:t>
      </w:r>
      <w:r>
        <w:rPr>
          <w:rFonts w:hint="eastAsia" w:ascii="仿宋" w:hAnsi="仿宋" w:eastAsia="仿宋" w:cs="仿宋"/>
          <w:sz w:val="28"/>
          <w:szCs w:val="28"/>
        </w:rPr>
        <w:t>C10----C35按供货当日宣城市海螺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散装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42.5</w:t>
      </w:r>
      <w:r>
        <w:rPr>
          <w:rFonts w:hint="eastAsia" w:ascii="仿宋" w:hAnsi="仿宋" w:eastAsia="仿宋" w:cs="仿宋"/>
          <w:sz w:val="28"/>
          <w:szCs w:val="28"/>
        </w:rPr>
        <w:t>水泥挂牌价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投标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文件中确认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2023年6月1日</w:t>
      </w:r>
      <w:r>
        <w:rPr>
          <w:rFonts w:hint="eastAsia" w:ascii="仿宋" w:hAnsi="仿宋" w:eastAsia="仿宋" w:cs="仿宋"/>
          <w:sz w:val="28"/>
          <w:szCs w:val="28"/>
        </w:rPr>
        <w:t>宣城市海螺水泥的基准挂牌价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sz w:val="28"/>
          <w:szCs w:val="28"/>
        </w:rPr>
        <w:t>上涨或下跌金额的30%进行调价。C40----C45按供货当日宣城市海螺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散装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42.5</w:t>
      </w:r>
      <w:r>
        <w:rPr>
          <w:rFonts w:hint="eastAsia" w:ascii="仿宋" w:hAnsi="仿宋" w:eastAsia="仿宋" w:cs="仿宋"/>
          <w:sz w:val="28"/>
          <w:szCs w:val="28"/>
        </w:rPr>
        <w:t>水泥挂牌价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与</w:t>
      </w:r>
      <w:r>
        <w:rPr>
          <w:rFonts w:hint="eastAsia" w:ascii="仿宋" w:hAnsi="仿宋" w:eastAsia="仿宋" w:cs="仿宋"/>
          <w:sz w:val="28"/>
          <w:szCs w:val="28"/>
        </w:rPr>
        <w:t>投标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文件中确认</w:t>
      </w:r>
      <w:r>
        <w:rPr>
          <w:rFonts w:hint="eastAsia" w:ascii="仿宋" w:hAnsi="仿宋" w:eastAsia="仿宋" w:cs="仿宋"/>
          <w:sz w:val="28"/>
          <w:szCs w:val="28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2023年6月1日</w:t>
      </w:r>
      <w:r>
        <w:rPr>
          <w:rFonts w:hint="eastAsia" w:ascii="仿宋" w:hAnsi="仿宋" w:eastAsia="仿宋" w:cs="仿宋"/>
          <w:sz w:val="28"/>
          <w:szCs w:val="28"/>
        </w:rPr>
        <w:t>宣城市海螺水泥的基准挂牌价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的</w:t>
      </w:r>
      <w:r>
        <w:rPr>
          <w:rFonts w:hint="eastAsia" w:ascii="仿宋" w:hAnsi="仿宋" w:eastAsia="仿宋" w:cs="仿宋"/>
          <w:sz w:val="28"/>
          <w:szCs w:val="28"/>
        </w:rPr>
        <w:t>上涨或下跌金额的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0%进行调价。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投标方应对如下项目进行报价：泵送费、P6、P8、细石、膨胀、早强防冻、抗裂纤维。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在报价单备注栏中注明。</w:t>
      </w:r>
    </w:p>
    <w:p>
      <w:pPr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4、标书相关要求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1）投标人法定代表人应在报价单相应位置签字及加盖公章，如经办人不是法人代表，须提供本人身份证复印件、法人身份证复印件、投标廉洁承诺书及有法人代表签字的《法人代表授权书》并加盖公章作为投标资料的一部分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0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（2）投标文件密封袋封口处应密封完整，加盖投标单位公章，并且注明招标编号及材料名称。因投标人制作、密封、寄送报价文件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不符合要求的视为无效投标。</w:t>
      </w:r>
    </w:p>
    <w:p>
      <w:pPr>
        <w:ind w:firstLine="565" w:firstLineChars="202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3）投标人的所有报价文件，除《法定代表人授权书》中的法定代表人签名、投标廉洁承诺书中的承诺人签字、报价单中的法定代表人或授权委托人签名须手写以外，其他填写的内容均为加盖单位公章的打印件。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以上事项不符合要求的视为无效投标。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（4）装订要求</w:t>
      </w:r>
    </w:p>
    <w:p>
      <w:pPr>
        <w:ind w:firstLine="565" w:firstLineChars="20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密封袋封口处应密封严实，并应加盖投标人公章。未按装订要求装订的，我公司不负责相关保密要求，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>同时视为无效投标。</w:t>
      </w:r>
    </w:p>
    <w:p>
      <w:pPr>
        <w:ind w:firstLine="638" w:firstLineChars="228"/>
        <w:rPr>
          <w:rFonts w:hint="eastAsia" w:ascii="仿宋" w:hAnsi="仿宋" w:eastAsia="仿宋" w:cs="仿宋_GB2312"/>
          <w:sz w:val="28"/>
          <w:szCs w:val="28"/>
          <w:lang w:eastAsia="zh-CN"/>
        </w:rPr>
      </w:pPr>
      <w:r>
        <w:rPr>
          <w:rFonts w:hint="eastAsia" w:ascii="仿宋" w:hAnsi="仿宋" w:eastAsia="仿宋" w:cs="仿宋_GB2312"/>
          <w:sz w:val="28"/>
          <w:szCs w:val="28"/>
        </w:rPr>
        <w:t>5、交货地点</w:t>
      </w:r>
      <w:r>
        <w:rPr>
          <w:rFonts w:hint="eastAsia" w:ascii="仿宋" w:hAnsi="仿宋" w:eastAsia="仿宋" w:cs="仿宋_GB2312"/>
          <w:sz w:val="28"/>
          <w:szCs w:val="28"/>
          <w:lang w:eastAsia="zh-CN"/>
        </w:rPr>
        <w:t>、收货人</w:t>
      </w:r>
    </w:p>
    <w:p>
      <w:pPr>
        <w:ind w:firstLine="638" w:firstLineChars="228"/>
        <w:rPr>
          <w:rFonts w:hint="default" w:ascii="仿宋" w:hAnsi="仿宋" w:eastAsia="仿宋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材料送至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全鑫矿业项目</w:t>
      </w:r>
      <w:r>
        <w:rPr>
          <w:rFonts w:hint="eastAsia" w:ascii="仿宋" w:hAnsi="仿宋" w:eastAsia="仿宋" w:cs="仿宋_GB2312"/>
          <w:sz w:val="28"/>
          <w:szCs w:val="28"/>
          <w:highlight w:val="none"/>
          <w:u w:val="single"/>
        </w:rPr>
        <w:t>施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工现场。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6、</w:t>
      </w:r>
      <w:r>
        <w:rPr>
          <w:rFonts w:hint="eastAsia" w:ascii="仿宋" w:hAnsi="仿宋" w:eastAsia="仿宋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本次招标的材料由中标人负责运输至指定地点。运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输过程中未按相关安全、环保等要求所导致的一切安全、环保事故由中标人承担责任。</w:t>
      </w:r>
    </w:p>
    <w:p>
      <w:pPr>
        <w:ind w:firstLine="638" w:firstLineChars="228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7、供货数量验收确认方式</w:t>
      </w:r>
    </w:p>
    <w:p>
      <w:pPr>
        <w:ind w:firstLine="915" w:firstLineChars="327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  <w:u w:val="single"/>
        </w:rPr>
        <w:t>按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现场签字确认的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到货数量进行验收</w:t>
      </w:r>
      <w:r>
        <w:rPr>
          <w:rFonts w:hint="eastAsia" w:ascii="仿宋" w:hAnsi="仿宋" w:eastAsia="仿宋" w:cs="仿宋_GB2312"/>
          <w:sz w:val="28"/>
          <w:szCs w:val="28"/>
          <w:u w:val="single"/>
          <w:lang w:eastAsia="zh-CN"/>
        </w:rPr>
        <w:t>、结算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。</w:t>
      </w:r>
    </w:p>
    <w:p>
      <w:pPr>
        <w:spacing w:line="600" w:lineRule="exact"/>
        <w:rPr>
          <w:rFonts w:ascii="仿宋" w:hAnsi="仿宋" w:eastAsia="仿宋" w:cs="仿宋_GB2312"/>
          <w:b/>
          <w:sz w:val="36"/>
          <w:szCs w:val="36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bookmarkStart w:id="0" w:name="_GoBack"/>
      <w:bookmarkEnd w:id="0"/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九、</w:t>
      </w:r>
      <w:r>
        <w:rPr>
          <w:rFonts w:hint="eastAsia" w:ascii="仿宋" w:hAnsi="仿宋" w:eastAsia="仿宋" w:cs="仿宋_GB2312"/>
          <w:b/>
          <w:sz w:val="36"/>
          <w:szCs w:val="36"/>
        </w:rPr>
        <w:t>评标及中标履约要求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1、评标由审计监察室随机临时确定评委并组建的评标委员会负责。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2、评标原则：评标活动遵循公平、公正、科学和择优的原则。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3、评标：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本次评标以价格为评标依据，采取“合理低价法”评标。即以经评委会审核，剔除偏离市场行情较大的恶意报价后的报价进行排序，其中价格最低的报价单位为预中标单位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4、中标候选人推荐：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评标委员会依据评标结果推荐一名中标候选人。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5、中标通知：招标人以书面形式向中标人发出中标通知书。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6、招标人和中标人应当自中标通知书发出之日起七日内，按照招标文件和中标人的投标文件订立书面合同，招标人和中标人不得再行订立背离本次招标实质性内容的其他协议。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numPr>
          <w:ilvl w:val="0"/>
          <w:numId w:val="0"/>
        </w:num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十、</w:t>
      </w:r>
      <w:r>
        <w:rPr>
          <w:rFonts w:hint="eastAsia" w:ascii="仿宋" w:hAnsi="仿宋" w:eastAsia="仿宋" w:cs="仿宋_GB2312"/>
          <w:b/>
          <w:sz w:val="36"/>
          <w:szCs w:val="36"/>
        </w:rPr>
        <w:t>纪律和监督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1、对招标人的纪律要求：招标人不得泄漏招标投标活动中应当保密的情况和资料，不得与投标人串通损害公司利益或者他人合法权益。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  <w:u w:val="single"/>
        </w:rPr>
      </w:pPr>
      <w:r>
        <w:rPr>
          <w:rFonts w:hint="eastAsia" w:ascii="仿宋" w:hAnsi="仿宋" w:eastAsia="仿宋" w:cs="仿宋_GB2312"/>
          <w:sz w:val="28"/>
          <w:szCs w:val="28"/>
        </w:rPr>
        <w:t>2、对投标人的纪律要求：投标人不得相互串通投标或者与招标人串通投标，不得向招标人或者评标委员会成员行贿谋取中标，不得以他人名义投标或者以其他方式弄虚作假骗取中标；投标人不得以任何方式干扰、影响评标工作。投标人有上述行为的，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一经确认将取消其今后参加我公司招标的资格，列入供应商黑名单。</w:t>
      </w: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一</w:t>
      </w:r>
      <w:r>
        <w:rPr>
          <w:rFonts w:hint="eastAsia" w:ascii="仿宋" w:hAnsi="仿宋" w:eastAsia="仿宋" w:cs="仿宋_GB2312"/>
          <w:b/>
          <w:sz w:val="36"/>
          <w:szCs w:val="36"/>
        </w:rPr>
        <w:t>、法定代表人授权书</w:t>
      </w:r>
    </w:p>
    <w:p>
      <w:pPr>
        <w:pStyle w:val="20"/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本授权书声明：我（姓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名）</w:t>
      </w:r>
      <w:r>
        <w:rPr>
          <w:rFonts w:hint="eastAsia" w:ascii="仿宋" w:hAnsi="仿宋" w:eastAsia="仿宋" w:cs="仿宋_GB2312"/>
          <w:sz w:val="28"/>
          <w:szCs w:val="28"/>
        </w:rPr>
        <w:t>系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</w:t>
      </w:r>
      <w:r>
        <w:rPr>
          <w:rFonts w:hint="eastAsia" w:ascii="仿宋" w:hAnsi="仿宋" w:eastAsia="仿宋" w:cs="仿宋_GB2312"/>
          <w:sz w:val="28"/>
          <w:szCs w:val="28"/>
        </w:rPr>
        <w:t>的法定代表人，现授权委托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（单位名称）（被授权委托人姓名 ）</w:t>
      </w:r>
      <w:r>
        <w:rPr>
          <w:rFonts w:hint="eastAsia" w:ascii="仿宋" w:hAnsi="仿宋" w:eastAsia="仿宋" w:cs="仿宋_GB2312"/>
          <w:sz w:val="28"/>
          <w:szCs w:val="28"/>
        </w:rPr>
        <w:t>为本公司合理代表人，就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 xml:space="preserve">投标，以本公司名义处理一切与之有关的事务。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本授权书于______年___月___日签字生效， 特此声明。 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代理人情况：</w:t>
      </w:r>
    </w:p>
    <w:p>
      <w:pPr>
        <w:spacing w:beforeLines="50" w:afterLines="50" w:line="360" w:lineRule="auto"/>
        <w:ind w:firstLine="480" w:firstLineChars="200"/>
        <w:rPr>
          <w:rFonts w:ascii="宋体"/>
          <w:sz w:val="24"/>
        </w:rPr>
      </w:pP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姓名：__________________   职务/职称：____________________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地址：__________________   邮编：_________________________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电话：__________________   传真：_________________________</w:t>
      </w:r>
    </w:p>
    <w:p>
      <w:pPr>
        <w:spacing w:line="600" w:lineRule="exact"/>
        <w:ind w:firstLine="560" w:firstLineChars="200"/>
        <w:rPr>
          <w:rFonts w:ascii="仿宋" w:hAnsi="仿宋" w:eastAsia="仿宋" w:cs="仿宋_GB2312"/>
          <w:sz w:val="28"/>
          <w:szCs w:val="28"/>
        </w:rPr>
      </w:pPr>
    </w:p>
    <w:p>
      <w:pPr>
        <w:spacing w:beforeLines="50" w:afterLines="50" w:line="360" w:lineRule="auto"/>
        <w:ind w:firstLine="4080" w:firstLineChars="1700"/>
        <w:rPr>
          <w:rFonts w:ascii="宋体"/>
          <w:sz w:val="24"/>
        </w:rPr>
      </w:pP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法定代表人签字：_______________ </w:t>
      </w:r>
    </w:p>
    <w:p>
      <w:pPr>
        <w:spacing w:line="600" w:lineRule="exact"/>
        <w:ind w:firstLine="4480" w:firstLineChars="16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单位盖章：_____________________</w:t>
      </w:r>
    </w:p>
    <w:p>
      <w:pPr>
        <w:spacing w:beforeLines="50" w:afterLines="50" w:line="360" w:lineRule="auto"/>
        <w:rPr>
          <w:sz w:val="24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</w:p>
    <w:p>
      <w:pPr>
        <w:spacing w:line="600" w:lineRule="exact"/>
        <w:ind w:firstLine="7000" w:firstLineChars="2500"/>
        <w:rPr>
          <w:rFonts w:ascii="仿宋" w:hAnsi="仿宋" w:eastAsia="仿宋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>年   月   日</w:t>
      </w:r>
    </w:p>
    <w:p>
      <w:pPr>
        <w:spacing w:line="6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p>
      <w:pPr>
        <w:spacing w:line="560" w:lineRule="exact"/>
        <w:jc w:val="center"/>
        <w:rPr>
          <w:rFonts w:hint="eastAsia" w:ascii="仿宋" w:hAnsi="仿宋" w:eastAsia="仿宋" w:cs="仿宋_GB2312"/>
          <w:b/>
          <w:sz w:val="36"/>
          <w:szCs w:val="36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_GB2312"/>
          <w:b/>
          <w:sz w:val="36"/>
          <w:szCs w:val="36"/>
        </w:rPr>
        <w:t>、投标廉洁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承诺书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我单位于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日参与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（招标编号）</w:t>
      </w:r>
      <w:r>
        <w:rPr>
          <w:rFonts w:hint="eastAsia" w:ascii="仿宋" w:hAnsi="仿宋" w:eastAsia="仿宋" w:cs="仿宋_GB2312"/>
          <w:sz w:val="28"/>
          <w:szCs w:val="28"/>
        </w:rPr>
        <w:t>的</w:t>
      </w:r>
      <w:r>
        <w:rPr>
          <w:rFonts w:hint="eastAsia" w:ascii="仿宋" w:hAnsi="仿宋" w:eastAsia="仿宋" w:cs="仿宋_GB2312"/>
          <w:sz w:val="28"/>
          <w:szCs w:val="28"/>
          <w:u w:val="single"/>
        </w:rPr>
        <w:t>（招标产品）</w:t>
      </w:r>
      <w:r>
        <w:rPr>
          <w:rFonts w:hint="eastAsia" w:ascii="仿宋" w:hAnsi="仿宋" w:eastAsia="仿宋" w:cs="仿宋_GB2312"/>
          <w:sz w:val="28"/>
          <w:szCs w:val="28"/>
        </w:rPr>
        <w:t>投标，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为加强招投标管理和廉政建设，防止发生各种谋取不正当利益的违法违纪行为、规范双方的各项活动，保护当事人及所属公司的合法权益，供方承诺：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承诺不相互串通投标或者与招标人串通投标；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不向招标人或者评标委员会成员行贿谋取中标；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不以他人名义投标或者以其他方式弄虚作假骗取中标；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承诺不向招标人及有关人员提供任何形式的财、物及请吃消费；</w:t>
      </w:r>
    </w:p>
    <w:p>
      <w:pPr>
        <w:widowControl/>
        <w:numPr>
          <w:ilvl w:val="0"/>
          <w:numId w:val="2"/>
        </w:numPr>
        <w:spacing w:line="560" w:lineRule="exact"/>
        <w:ind w:firstLine="560" w:firstLineChars="200"/>
        <w:jc w:val="left"/>
        <w:rPr>
          <w:rFonts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保证材料供应的数量、质量及供货时间符合贵公司要求。如果由于材料本身的数量、质量及供货时间等问题而导致贵公司生产、施工发生返工、工期延误等情况，所造成的相应直接、间接损失由我方承担，我方接受贵公司相应处罚，情节严重的愿承担相关法律责任。</w:t>
      </w:r>
    </w:p>
    <w:p>
      <w:pPr>
        <w:spacing w:line="560" w:lineRule="exact"/>
        <w:ind w:firstLine="560" w:firstLineChars="200"/>
        <w:rPr>
          <w:rFonts w:ascii="仿宋_GB2312" w:hAnsi="仿宋_GB2312" w:eastAsia="仿宋_GB2312" w:cs="仿宋_GB2312"/>
          <w:color w:val="000000"/>
          <w:sz w:val="28"/>
          <w:szCs w:val="28"/>
          <w:u w:val="single"/>
        </w:rPr>
      </w:pPr>
    </w:p>
    <w:p>
      <w:pPr>
        <w:spacing w:line="56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</w:p>
    <w:p>
      <w:pPr>
        <w:spacing w:line="56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承诺方签字:</w:t>
      </w:r>
      <w:r>
        <w:rPr>
          <w:rFonts w:hint="eastAsia" w:ascii="仿宋" w:hAnsi="仿宋" w:eastAsia="仿宋" w:cs="仿宋_GB2312"/>
          <w:sz w:val="28"/>
          <w:szCs w:val="28"/>
        </w:rPr>
        <w:t>_________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</w:t>
      </w:r>
    </w:p>
    <w:p>
      <w:pPr>
        <w:spacing w:line="560" w:lineRule="exact"/>
        <w:ind w:firstLine="5320" w:firstLineChars="19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" w:hAnsi="仿宋" w:eastAsia="仿宋" w:cs="仿宋_GB2312"/>
          <w:sz w:val="28"/>
          <w:szCs w:val="28"/>
        </w:rPr>
        <w:t xml:space="preserve">单位盖章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：                    </w:t>
      </w:r>
    </w:p>
    <w:p>
      <w:pPr>
        <w:spacing w:line="560" w:lineRule="exact"/>
        <w:ind w:firstLine="2240" w:firstLineChars="800"/>
        <w:rPr>
          <w:rFonts w:ascii="仿宋_GB2312" w:hAnsi="宋体" w:eastAsia="仿宋_GB2312" w:cs="仿宋_GB2312"/>
          <w:b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312" w:right="1469" w:bottom="709" w:left="1338" w:header="851" w:footer="273" w:gutter="284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日期：</w:t>
      </w:r>
    </w:p>
    <w:p>
      <w:pPr>
        <w:spacing w:line="600" w:lineRule="exact"/>
        <w:jc w:val="center"/>
        <w:rPr>
          <w:rFonts w:ascii="仿宋" w:hAnsi="仿宋" w:eastAsia="仿宋" w:cs="仿宋_GB2312"/>
          <w:b/>
          <w:sz w:val="36"/>
          <w:szCs w:val="36"/>
        </w:rPr>
      </w:pPr>
      <w:r>
        <w:rPr>
          <w:rFonts w:hint="eastAsia" w:ascii="仿宋" w:hAnsi="仿宋" w:eastAsia="仿宋" w:cs="仿宋_GB2312"/>
          <w:b/>
          <w:sz w:val="36"/>
          <w:szCs w:val="36"/>
        </w:rPr>
        <w:t>十</w:t>
      </w:r>
      <w:r>
        <w:rPr>
          <w:rFonts w:hint="eastAsia" w:ascii="仿宋" w:hAnsi="仿宋" w:eastAsia="仿宋" w:cs="仿宋_GB2312"/>
          <w:b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_GB2312"/>
          <w:b/>
          <w:sz w:val="36"/>
          <w:szCs w:val="36"/>
        </w:rPr>
        <w:t>、报价单</w:t>
      </w:r>
    </w:p>
    <w:p>
      <w:pPr>
        <w:rPr>
          <w:rFonts w:hint="default" w:ascii="仿宋_GB2312" w:eastAsia="仿宋_GB2312"/>
          <w:b/>
          <w:i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b/>
          <w:sz w:val="28"/>
          <w:szCs w:val="28"/>
        </w:rPr>
        <w:t>报价单 TGJA-WZ-202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382</w:t>
      </w:r>
    </w:p>
    <w:tbl>
      <w:tblPr>
        <w:tblStyle w:val="54"/>
        <w:tblW w:w="1546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4"/>
        <w:gridCol w:w="2042"/>
        <w:gridCol w:w="2876"/>
        <w:gridCol w:w="809"/>
        <w:gridCol w:w="1064"/>
        <w:gridCol w:w="180"/>
        <w:gridCol w:w="1150"/>
        <w:gridCol w:w="1702"/>
        <w:gridCol w:w="708"/>
        <w:gridCol w:w="1121"/>
        <w:gridCol w:w="232"/>
        <w:gridCol w:w="31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物料名称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型号规格</w:t>
            </w: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单位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数量</w:t>
            </w: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单价</w:t>
            </w:r>
            <w:r>
              <w:rPr>
                <w:rFonts w:hint="eastAsia" w:ascii="仿宋_GB2312" w:eastAsia="仿宋_GB2312"/>
                <w:b w:val="0"/>
                <w:bCs w:val="0"/>
                <w:color w:val="FF0000"/>
                <w:sz w:val="24"/>
              </w:rPr>
              <w:t>＊</w:t>
            </w: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总价</w:t>
            </w:r>
            <w:r>
              <w:rPr>
                <w:rFonts w:hint="eastAsia" w:ascii="仿宋_GB2312" w:eastAsia="仿宋_GB2312"/>
                <w:b w:val="0"/>
                <w:bCs w:val="0"/>
                <w:color w:val="FF0000"/>
                <w:sz w:val="24"/>
              </w:rPr>
              <w:t>＊</w:t>
            </w:r>
          </w:p>
        </w:tc>
        <w:tc>
          <w:tcPr>
            <w:tcW w:w="206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税率（注明税率及是否为增值税专业发票）</w:t>
            </w:r>
            <w:r>
              <w:rPr>
                <w:rFonts w:hint="eastAsia" w:ascii="仿宋_GB2312" w:eastAsia="仿宋_GB2312"/>
                <w:b w:val="0"/>
                <w:bCs w:val="0"/>
                <w:color w:val="FF0000"/>
                <w:sz w:val="24"/>
              </w:rPr>
              <w:t>＊</w:t>
            </w:r>
          </w:p>
        </w:tc>
        <w:tc>
          <w:tcPr>
            <w:tcW w:w="3172" w:type="dxa"/>
            <w:vAlign w:val="center"/>
          </w:tcPr>
          <w:p>
            <w:pPr>
              <w:jc w:val="center"/>
              <w:rPr>
                <w:rFonts w:ascii="仿宋_GB2312" w:eastAsia="仿宋_GB2312"/>
                <w:b w:val="0"/>
                <w:bCs w:val="0"/>
                <w:sz w:val="24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C15泵送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restart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泵送费：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P6：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P8: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细石：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膨胀：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早强防冻：</w:t>
            </w:r>
          </w:p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抗裂纤维：</w:t>
            </w:r>
          </w:p>
          <w:p>
            <w:pPr>
              <w:widowControl/>
              <w:ind w:firstLine="1440" w:firstLineChars="600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val="en-US" w:eastAsia="zh-CN"/>
              </w:rPr>
              <w:t>单位：元/立方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C20泵送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1200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3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C25泵送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4000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4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C30泵送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5000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5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C35泵送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3600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6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C40泵送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200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7</w:t>
            </w:r>
          </w:p>
        </w:tc>
        <w:tc>
          <w:tcPr>
            <w:tcW w:w="204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商品混凝土</w:t>
            </w:r>
          </w:p>
        </w:tc>
        <w:tc>
          <w:tcPr>
            <w:tcW w:w="287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C45泵送</w:t>
            </w:r>
          </w:p>
        </w:tc>
        <w:tc>
          <w:tcPr>
            <w:tcW w:w="80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</w:rPr>
              <w:t>m3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szCs w:val="22"/>
                <w:lang w:val="en-US" w:eastAsia="zh-CN"/>
              </w:rPr>
              <w:t>100</w:t>
            </w:r>
          </w:p>
        </w:tc>
        <w:tc>
          <w:tcPr>
            <w:tcW w:w="115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3172" w:type="dxa"/>
            <w:vMerge w:val="continue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color w:val="FF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0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</w:tc>
        <w:tc>
          <w:tcPr>
            <w:tcW w:w="204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sz w:val="24"/>
              </w:rPr>
              <w:t>合计＊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5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6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17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5460" w:type="dxa"/>
            <w:gridSpan w:val="12"/>
            <w:vAlign w:val="center"/>
          </w:tcPr>
          <w:p>
            <w:pPr>
              <w:spacing w:line="4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说明：1、此报价表中带 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 xml:space="preserve">＊ </w:t>
            </w:r>
            <w:r>
              <w:rPr>
                <w:rFonts w:hint="eastAsia" w:ascii="仿宋_GB2312" w:eastAsia="仿宋_GB2312"/>
                <w:sz w:val="24"/>
              </w:rPr>
              <w:t>号为必填项，投标人的所有报价文件均为加盖单位公章的打印件（签名部分除外）。</w:t>
            </w:r>
          </w:p>
          <w:p>
            <w:pPr>
              <w:spacing w:line="40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2、税率栏填写时要具体明确税率及是否为增值税专用发票。</w:t>
            </w:r>
          </w:p>
          <w:p>
            <w:pPr>
              <w:spacing w:line="40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3、报价均为含税（税率必须注明）、含运费价，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none"/>
              </w:rPr>
              <w:t>含运费、含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none"/>
                <w:lang w:eastAsia="zh-CN"/>
              </w:rPr>
              <w:t>装卸一票制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highlight w:val="none"/>
                <w:u w:val="none"/>
              </w:rPr>
              <w:t>。</w:t>
            </w:r>
          </w:p>
          <w:p>
            <w:pPr>
              <w:spacing w:line="400" w:lineRule="exact"/>
              <w:ind w:firstLine="720" w:firstLineChars="3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4、本次招标量为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预估</w:t>
            </w:r>
            <w:r>
              <w:rPr>
                <w:rFonts w:hint="eastAsia" w:ascii="仿宋_GB2312" w:eastAsia="仿宋_GB2312"/>
                <w:sz w:val="24"/>
              </w:rPr>
              <w:t>量，实际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结算数</w:t>
            </w:r>
            <w:r>
              <w:rPr>
                <w:rFonts w:hint="eastAsia" w:ascii="仿宋_GB2312" w:eastAsia="仿宋_GB2312"/>
                <w:sz w:val="24"/>
              </w:rPr>
              <w:t>量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以实际送货量为准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195" w:type="dxa"/>
            <w:gridSpan w:val="5"/>
            <w:vMerge w:val="restart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投标单位（公章）</w:t>
            </w:r>
          </w:p>
        </w:tc>
        <w:tc>
          <w:tcPr>
            <w:tcW w:w="3740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法定代表人或授权委托人</w:t>
            </w:r>
          </w:p>
        </w:tc>
        <w:tc>
          <w:tcPr>
            <w:tcW w:w="4525" w:type="dxa"/>
            <w:gridSpan w:val="3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7195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740" w:type="dxa"/>
            <w:gridSpan w:val="4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联系方式</w:t>
            </w: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7195" w:type="dxa"/>
            <w:gridSpan w:val="5"/>
            <w:vMerge w:val="continue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3740" w:type="dxa"/>
            <w:gridSpan w:val="4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3404" w:type="dxa"/>
            <w:gridSpan w:val="2"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仿宋_GB2312"/>
          <w:sz w:val="28"/>
          <w:szCs w:val="28"/>
          <w:u w:val="single"/>
        </w:rPr>
      </w:pPr>
    </w:p>
    <w:sectPr>
      <w:headerReference r:id="rId5" w:type="default"/>
      <w:footerReference r:id="rId6" w:type="default"/>
      <w:pgSz w:w="16838" w:h="11906" w:orient="landscape"/>
      <w:pgMar w:top="1338" w:right="312" w:bottom="1469" w:left="709" w:header="851" w:footer="273" w:gutter="28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